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76" w:rsidRDefault="00C96976">
      <w:pPr>
        <w:pStyle w:val="CorpoA"/>
        <w:spacing w:line="240" w:lineRule="auto"/>
        <w:rPr>
          <w:sz w:val="24"/>
          <w:szCs w:val="24"/>
        </w:rPr>
      </w:pPr>
      <w:bookmarkStart w:id="0" w:name="_GoBack"/>
      <w:bookmarkEnd w:id="0"/>
    </w:p>
    <w:p w:rsidR="00C96976" w:rsidRDefault="00C96976">
      <w:pPr>
        <w:pStyle w:val="CorpoA"/>
        <w:jc w:val="center"/>
        <w:rPr>
          <w:b/>
          <w:bCs/>
        </w:rPr>
      </w:pPr>
    </w:p>
    <w:p w:rsidR="00C96976" w:rsidRDefault="00C96976">
      <w:pPr>
        <w:pStyle w:val="CorpoA"/>
        <w:jc w:val="center"/>
        <w:rPr>
          <w:b/>
          <w:bCs/>
        </w:rPr>
      </w:pPr>
    </w:p>
    <w:p w:rsidR="00C96976" w:rsidRDefault="00C96976">
      <w:pPr>
        <w:pStyle w:val="CorpoA"/>
        <w:jc w:val="center"/>
        <w:rPr>
          <w:b/>
          <w:bCs/>
        </w:rPr>
      </w:pPr>
    </w:p>
    <w:p w:rsidR="00C96976" w:rsidRDefault="00857C2D">
      <w:pPr>
        <w:pStyle w:val="CorpoA"/>
        <w:jc w:val="center"/>
        <w:rPr>
          <w:b/>
          <w:bCs/>
          <w:lang w:val="de-DE"/>
        </w:rPr>
      </w:pPr>
      <w:r>
        <w:rPr>
          <w:b/>
          <w:bCs/>
          <w:lang w:val="en-US"/>
        </w:rPr>
        <w:t>CRITERI DI DEROGA PER LA VALIDITA</w:t>
      </w:r>
      <w:r>
        <w:rPr>
          <w:b/>
          <w:bCs/>
        </w:rPr>
        <w:t xml:space="preserve">’ </w:t>
      </w:r>
      <w:r>
        <w:rPr>
          <w:b/>
          <w:bCs/>
          <w:lang w:val="da-DK"/>
        </w:rPr>
        <w:t>DELL</w:t>
      </w:r>
      <w:r>
        <w:rPr>
          <w:b/>
          <w:bCs/>
        </w:rPr>
        <w:t>’</w:t>
      </w:r>
      <w:r>
        <w:rPr>
          <w:b/>
          <w:bCs/>
          <w:lang w:val="de-DE"/>
        </w:rPr>
        <w:t>ANNO SCOLASTICO</w:t>
      </w:r>
    </w:p>
    <w:p w:rsidR="00C96976" w:rsidRDefault="00C96976">
      <w:pPr>
        <w:pStyle w:val="CorpoA"/>
        <w:jc w:val="center"/>
        <w:rPr>
          <w:b/>
          <w:bCs/>
          <w:lang w:val="de-DE"/>
        </w:rPr>
      </w:pPr>
    </w:p>
    <w:p w:rsidR="00C96976" w:rsidRDefault="00857C2D">
      <w:pPr>
        <w:pStyle w:val="CorpoA"/>
        <w:jc w:val="center"/>
      </w:pPr>
      <w:r>
        <w:rPr>
          <w:b/>
          <w:bCs/>
        </w:rPr>
        <w:t>Co</w:t>
      </w:r>
      <w:r w:rsidR="000100BD">
        <w:rPr>
          <w:b/>
          <w:bCs/>
        </w:rPr>
        <w:t>llegio dei docenti</w:t>
      </w:r>
      <w:r>
        <w:rPr>
          <w:b/>
          <w:bCs/>
        </w:rPr>
        <w:t xml:space="preserve"> del 15 ma</w:t>
      </w:r>
      <w:r w:rsidR="000100BD">
        <w:rPr>
          <w:b/>
          <w:bCs/>
        </w:rPr>
        <w:t>ggio</w:t>
      </w:r>
      <w:r>
        <w:rPr>
          <w:b/>
          <w:bCs/>
        </w:rPr>
        <w:t xml:space="preserve"> 2026</w:t>
      </w:r>
    </w:p>
    <w:p w:rsidR="00C96976" w:rsidRDefault="00C96976">
      <w:pPr>
        <w:pStyle w:val="CorpoA"/>
      </w:pPr>
    </w:p>
    <w:p w:rsidR="00C96976" w:rsidRDefault="00C96976">
      <w:pPr>
        <w:pStyle w:val="CorpoA"/>
      </w:pPr>
    </w:p>
    <w:p w:rsidR="00C96976" w:rsidRDefault="00857C2D">
      <w:pPr>
        <w:pStyle w:val="CorpoA"/>
        <w:widowControl w:val="0"/>
        <w:numPr>
          <w:ilvl w:val="0"/>
          <w:numId w:val="2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Gravi motivi di salute</w:t>
      </w:r>
      <w:r>
        <w:rPr>
          <w:rFonts w:ascii="Calibri" w:hAnsi="Calibri"/>
          <w:sz w:val="26"/>
          <w:szCs w:val="26"/>
        </w:rPr>
        <w:t xml:space="preserve"> adeguatamente documentati (</w:t>
      </w:r>
      <w:r>
        <w:rPr>
          <w:rFonts w:ascii="Calibri" w:hAnsi="Calibri"/>
          <w:b/>
          <w:bCs/>
          <w:sz w:val="26"/>
          <w:szCs w:val="26"/>
        </w:rPr>
        <w:t>certificato medico</w:t>
      </w:r>
      <w:r>
        <w:rPr>
          <w:rFonts w:ascii="Calibri" w:hAnsi="Calibri"/>
          <w:sz w:val="26"/>
          <w:szCs w:val="26"/>
        </w:rPr>
        <w:t xml:space="preserve"> che attesta l’impossibilità della frequenza anche parziale, ricovero ospedaliero, terapie o cure domiciliari, in forma continuativa o ricorrente, visite specialistiche ospedaliere e day hospital, anche riferite ad un giorno); le assenze continuative debbono essere debitamente documentate al momento del rientro dell’alunno a scuola, con </w:t>
      </w:r>
      <w:r>
        <w:rPr>
          <w:rFonts w:ascii="Calibri" w:hAnsi="Calibri"/>
          <w:b/>
          <w:bCs/>
          <w:sz w:val="26"/>
          <w:szCs w:val="26"/>
        </w:rPr>
        <w:t>certificazioni mediche conservate agli atti</w:t>
      </w:r>
      <w:r>
        <w:rPr>
          <w:rFonts w:ascii="Calibri" w:hAnsi="Calibri"/>
          <w:sz w:val="26"/>
          <w:szCs w:val="26"/>
        </w:rPr>
        <w:t>.</w:t>
      </w:r>
    </w:p>
    <w:p w:rsidR="00C96976" w:rsidRDefault="00857C2D">
      <w:pPr>
        <w:pStyle w:val="CorpoA"/>
        <w:widowControl w:val="0"/>
        <w:numPr>
          <w:ilvl w:val="0"/>
          <w:numId w:val="2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gravi situazioni socio-familiari </w:t>
      </w:r>
      <w:r>
        <w:rPr>
          <w:rFonts w:ascii="Calibri" w:hAnsi="Calibri"/>
          <w:sz w:val="26"/>
          <w:szCs w:val="26"/>
        </w:rPr>
        <w:t>documentate;</w:t>
      </w:r>
    </w:p>
    <w:p w:rsidR="00C96976" w:rsidRDefault="00857C2D">
      <w:pPr>
        <w:pStyle w:val="CorpoA"/>
        <w:widowControl w:val="0"/>
        <w:numPr>
          <w:ilvl w:val="0"/>
          <w:numId w:val="2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partecipazione ad attività sportive</w:t>
      </w:r>
      <w:r>
        <w:rPr>
          <w:rFonts w:ascii="Calibri" w:hAnsi="Calibri"/>
          <w:sz w:val="26"/>
          <w:szCs w:val="26"/>
        </w:rPr>
        <w:t xml:space="preserve"> e agonistiche organizzate da federazioni riconosciute dal CONI e ad attività artistico/musicali promosse da enti riconosciuti;</w:t>
      </w:r>
    </w:p>
    <w:p w:rsidR="00C96976" w:rsidRDefault="00857C2D">
      <w:pPr>
        <w:pStyle w:val="CorpoA"/>
        <w:widowControl w:val="0"/>
        <w:numPr>
          <w:ilvl w:val="0"/>
          <w:numId w:val="2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adesione a confessioni religiose</w:t>
      </w:r>
      <w:r>
        <w:rPr>
          <w:rFonts w:ascii="Calibri" w:hAnsi="Calibri"/>
          <w:sz w:val="26"/>
          <w:szCs w:val="26"/>
        </w:rPr>
        <w:t xml:space="preserve"> per le quali esistono specifiche intese (cfr. Legge n. 516/1988 che recepisce l’intesa con la Chiesa Cristiana Avventista; Legge n. 101/1989 sulla regolazione dei rapporti tra lo Stato e l’Unione delle Comunità Ebraiche Italiane, </w:t>
      </w:r>
      <w:proofErr w:type="spellStart"/>
      <w:r>
        <w:rPr>
          <w:rFonts w:ascii="Calibri" w:hAnsi="Calibri"/>
          <w:sz w:val="26"/>
          <w:szCs w:val="26"/>
        </w:rPr>
        <w:t>ect</w:t>
      </w:r>
      <w:proofErr w:type="spellEnd"/>
      <w:r>
        <w:rPr>
          <w:rFonts w:ascii="Calibri" w:hAnsi="Calibri"/>
          <w:sz w:val="26"/>
          <w:szCs w:val="26"/>
        </w:rPr>
        <w:t>);</w:t>
      </w:r>
    </w:p>
    <w:p w:rsidR="00C96976" w:rsidRDefault="00857C2D">
      <w:pPr>
        <w:pStyle w:val="CorpoA"/>
        <w:widowControl w:val="0"/>
        <w:numPr>
          <w:ilvl w:val="0"/>
          <w:numId w:val="2"/>
        </w:numPr>
        <w:spacing w:line="240" w:lineRule="auto"/>
        <w:ind w:right="285"/>
        <w:jc w:val="both"/>
        <w:rPr>
          <w:rFonts w:ascii="Times New Roman" w:hAnsi="Times New Roman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visita a familiari del paese di origine</w:t>
      </w:r>
      <w:r>
        <w:rPr>
          <w:rFonts w:ascii="Calibri" w:hAnsi="Calibri"/>
          <w:sz w:val="26"/>
          <w:szCs w:val="26"/>
        </w:rPr>
        <w:t xml:space="preserve"> fino al 20% del monte ore annuale</w:t>
      </w:r>
    </w:p>
    <w:p w:rsidR="00C96976" w:rsidRDefault="00857C2D">
      <w:pPr>
        <w:pStyle w:val="CorpoA"/>
        <w:widowControl w:val="0"/>
        <w:numPr>
          <w:ilvl w:val="0"/>
          <w:numId w:val="2"/>
        </w:numPr>
        <w:spacing w:line="240" w:lineRule="auto"/>
        <w:ind w:right="28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adesione, attraverso attestato di partecipazione, ad attività di orientamento open day, laboratori didattici, progetto Bici, teatro, coro est</w:t>
      </w:r>
    </w:p>
    <w:p w:rsidR="00C96976" w:rsidRDefault="00C96976">
      <w:pPr>
        <w:pStyle w:val="CorpoA"/>
        <w:widowControl w:val="0"/>
        <w:jc w:val="both"/>
        <w:rPr>
          <w:rFonts w:ascii="Calibri" w:eastAsia="Calibri" w:hAnsi="Calibri" w:cs="Calibri"/>
          <w:b/>
          <w:bCs/>
        </w:rPr>
      </w:pPr>
    </w:p>
    <w:p w:rsidR="00C96976" w:rsidRDefault="00C96976">
      <w:pPr>
        <w:pStyle w:val="CorpoA"/>
      </w:pPr>
    </w:p>
    <w:sectPr w:rsidR="00C9697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F4" w:rsidRDefault="003336F4">
      <w:r>
        <w:separator/>
      </w:r>
    </w:p>
  </w:endnote>
  <w:endnote w:type="continuationSeparator" w:id="0">
    <w:p w:rsidR="003336F4" w:rsidRDefault="0033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976" w:rsidRDefault="00C9697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F4" w:rsidRDefault="003336F4">
      <w:r>
        <w:separator/>
      </w:r>
    </w:p>
  </w:footnote>
  <w:footnote w:type="continuationSeparator" w:id="0">
    <w:p w:rsidR="003336F4" w:rsidRDefault="0033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976" w:rsidRDefault="00C9697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54ED0"/>
    <w:multiLevelType w:val="hybridMultilevel"/>
    <w:tmpl w:val="A230A4E8"/>
    <w:numStyleLink w:val="Stileimportato1"/>
  </w:abstractNum>
  <w:abstractNum w:abstractNumId="1" w15:restartNumberingAfterBreak="0">
    <w:nsid w:val="7C853E86"/>
    <w:multiLevelType w:val="hybridMultilevel"/>
    <w:tmpl w:val="A230A4E8"/>
    <w:styleLink w:val="Stileimportato1"/>
    <w:lvl w:ilvl="0" w:tplc="F098A79A">
      <w:start w:val="1"/>
      <w:numFmt w:val="bullet"/>
      <w:lvlText w:val="●"/>
      <w:lvlJc w:val="left"/>
      <w:pPr>
        <w:ind w:left="720" w:hanging="50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71B25B8E">
      <w:start w:val="1"/>
      <w:numFmt w:val="bullet"/>
      <w:lvlText w:val="○"/>
      <w:lvlJc w:val="left"/>
      <w:pPr>
        <w:ind w:left="144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D43ED6C4">
      <w:start w:val="1"/>
      <w:numFmt w:val="bullet"/>
      <w:lvlText w:val="■"/>
      <w:lvlJc w:val="left"/>
      <w:pPr>
        <w:ind w:left="216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A986F764">
      <w:start w:val="1"/>
      <w:numFmt w:val="bullet"/>
      <w:lvlText w:val="●"/>
      <w:lvlJc w:val="left"/>
      <w:pPr>
        <w:ind w:left="2880" w:hanging="50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5A34E824">
      <w:start w:val="1"/>
      <w:numFmt w:val="bullet"/>
      <w:lvlText w:val="○"/>
      <w:lvlJc w:val="left"/>
      <w:pPr>
        <w:ind w:left="360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30AA405C">
      <w:start w:val="1"/>
      <w:numFmt w:val="bullet"/>
      <w:lvlText w:val="■"/>
      <w:lvlJc w:val="left"/>
      <w:pPr>
        <w:ind w:left="432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6C76445E">
      <w:start w:val="1"/>
      <w:numFmt w:val="bullet"/>
      <w:lvlText w:val="●"/>
      <w:lvlJc w:val="left"/>
      <w:pPr>
        <w:ind w:left="5040" w:hanging="50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7DEF172">
      <w:start w:val="1"/>
      <w:numFmt w:val="bullet"/>
      <w:lvlText w:val="○"/>
      <w:lvlJc w:val="left"/>
      <w:pPr>
        <w:ind w:left="576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5FBE7756">
      <w:start w:val="1"/>
      <w:numFmt w:val="bullet"/>
      <w:lvlText w:val="■"/>
      <w:lvlJc w:val="left"/>
      <w:pPr>
        <w:ind w:left="6480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76"/>
    <w:rsid w:val="000100BD"/>
    <w:rsid w:val="003336F4"/>
    <w:rsid w:val="0068225B"/>
    <w:rsid w:val="00857C2D"/>
    <w:rsid w:val="009E2180"/>
    <w:rsid w:val="00C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A6E03-A5C1-43AF-9015-8B615D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Cipriani</dc:creator>
  <cp:lastModifiedBy>Antonietta Di Lorenzo</cp:lastModifiedBy>
  <cp:revision>2</cp:revision>
  <dcterms:created xsi:type="dcterms:W3CDTF">2026-03-02T15:14:00Z</dcterms:created>
  <dcterms:modified xsi:type="dcterms:W3CDTF">2026-03-02T15:14:00Z</dcterms:modified>
</cp:coreProperties>
</file>