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C42A" w14:textId="4BDA07DC" w:rsidR="009B00C8" w:rsidRPr="009B00C8" w:rsidRDefault="009B00C8" w:rsidP="009B00C8">
      <w:pPr>
        <w:spacing w:after="160" w:line="259" w:lineRule="auto"/>
        <w:ind w:left="3686" w:hanging="3686"/>
        <w:rPr>
          <w:b/>
          <w:sz w:val="28"/>
          <w:szCs w:val="28"/>
        </w:rPr>
      </w:pPr>
      <w:r w:rsidRPr="00601AB4">
        <w:rPr>
          <w:b/>
          <w:sz w:val="32"/>
          <w:szCs w:val="32"/>
        </w:rPr>
        <w:t>UDA (compito di realtà)</w:t>
      </w:r>
      <w:r>
        <w:rPr>
          <w:vertAlign w:val="superscript"/>
        </w:rPr>
        <w:footnoteReference w:id="1"/>
      </w:r>
      <w:r>
        <w:t xml:space="preserve"> </w:t>
      </w:r>
      <w:r w:rsidRPr="009B00C8">
        <w:rPr>
          <w:sz w:val="28"/>
          <w:szCs w:val="28"/>
        </w:rPr>
        <w:t xml:space="preserve">: </w:t>
      </w:r>
      <w:r w:rsidRPr="009B00C8">
        <w:rPr>
          <w:b/>
          <w:sz w:val="28"/>
          <w:szCs w:val="28"/>
        </w:rPr>
        <w:t xml:space="preserve">Verifica delle prestazioni idrauliche di una pompa </w:t>
      </w:r>
      <w:r>
        <w:rPr>
          <w:b/>
          <w:sz w:val="28"/>
          <w:szCs w:val="28"/>
        </w:rPr>
        <w:t xml:space="preserve">           </w:t>
      </w:r>
      <w:r w:rsidRPr="009B00C8">
        <w:rPr>
          <w:b/>
          <w:sz w:val="28"/>
          <w:szCs w:val="28"/>
        </w:rPr>
        <w:t>centrifuga</w:t>
      </w:r>
      <w:r w:rsidRPr="009B00C8">
        <w:rPr>
          <w:sz w:val="28"/>
          <w:szCs w:val="28"/>
        </w:rPr>
        <w:t xml:space="preserve"> </w:t>
      </w: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9B00C8" w:rsidRPr="00601AB4" w14:paraId="1520C842" w14:textId="77777777" w:rsidTr="0048337D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EA02C23" w14:textId="77777777" w:rsidR="009B00C8" w:rsidRPr="00601AB4" w:rsidRDefault="009B00C8" w:rsidP="0048337D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1. Classi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1CA335A" w14:textId="632CF986" w:rsidR="009B00C8" w:rsidRPr="009B00C8" w:rsidRDefault="009B00C8" w:rsidP="0048337D">
            <w:pPr>
              <w:ind w:right="225" w:firstLine="70"/>
              <w:rPr>
                <w:color w:val="211D1E"/>
                <w:kern w:val="24"/>
              </w:rPr>
            </w:pPr>
            <w:r w:rsidRPr="009B00C8">
              <w:rPr>
                <w:color w:val="211D1E"/>
                <w:kern w:val="24"/>
              </w:rPr>
              <w:t>Terza Termoidraulica</w:t>
            </w:r>
          </w:p>
        </w:tc>
      </w:tr>
      <w:tr w:rsidR="009B00C8" w:rsidRPr="00601AB4" w14:paraId="48269DB1" w14:textId="77777777" w:rsidTr="0048337D">
        <w:trPr>
          <w:trHeight w:val="1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5AF472C" w14:textId="77777777" w:rsidR="009B00C8" w:rsidRPr="00601AB4" w:rsidRDefault="009B00C8" w:rsidP="0048337D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CF1F374" w14:textId="59B420D0" w:rsidR="009B00C8" w:rsidRDefault="009B00C8" w:rsidP="009B00C8">
            <w:r>
              <w:t>Lo scopo del compito è quello di condurre una verifica dello stato di efficienza di una pompa centrifuga a motore ventilato, rilevando sperimentalmente la curva caratteristica e riportandola graficamente.</w:t>
            </w:r>
          </w:p>
          <w:p w14:paraId="091564CA" w14:textId="77777777" w:rsidR="009B00C8" w:rsidRDefault="009B00C8" w:rsidP="009B00C8">
            <w:r>
              <w:t>Rilevare sperimentalmente gli assorbimenti elettrici e la relativa potenza assorbita.</w:t>
            </w:r>
          </w:p>
          <w:p w14:paraId="14C83CFA" w14:textId="77777777" w:rsidR="009B00C8" w:rsidRDefault="009B00C8" w:rsidP="009B00C8">
            <w:r>
              <w:t>Determinare il rendimento complessivo della macchina al variare del punto di lavoro confrontando i risultati con i valori dichiarati (e certificati) dal costruttore.</w:t>
            </w:r>
          </w:p>
          <w:p w14:paraId="60D80102" w14:textId="77777777" w:rsidR="009B00C8" w:rsidRDefault="009B00C8" w:rsidP="009B00C8"/>
          <w:p w14:paraId="504A297E" w14:textId="5AA57780" w:rsidR="009B00C8" w:rsidRPr="00601AB4" w:rsidRDefault="009B00C8" w:rsidP="009B00C8">
            <w:pPr>
              <w:rPr>
                <w:i/>
                <w:iCs/>
                <w:color w:val="211D1E"/>
                <w:kern w:val="24"/>
                <w:sz w:val="22"/>
                <w:szCs w:val="22"/>
              </w:rPr>
            </w:pPr>
            <w:r>
              <w:t xml:space="preserve"> </w:t>
            </w:r>
          </w:p>
        </w:tc>
      </w:tr>
      <w:tr w:rsidR="009B00C8" w:rsidRPr="00601AB4" w14:paraId="292FCEC3" w14:textId="77777777" w:rsidTr="0048337D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C7C5DC1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3.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A256F69" w14:textId="78EFE47C" w:rsidR="009B00C8" w:rsidRPr="00601AB4" w:rsidRDefault="009B00C8" w:rsidP="009B00C8">
            <w:pPr>
              <w:ind w:firstLine="70"/>
              <w:rPr>
                <w:sz w:val="22"/>
                <w:szCs w:val="22"/>
              </w:rPr>
            </w:pPr>
            <w:r>
              <w:t xml:space="preserve">il Consiglio d’Istituto Marconi, tramite il responsabile del laboratorio di termoidraulica, interno alla scuola, richiede agli studenti se le pompe montate sul pannello dimostrativo sono ancora efficienti o da sostituire. </w:t>
            </w:r>
          </w:p>
        </w:tc>
      </w:tr>
      <w:tr w:rsidR="009B00C8" w:rsidRPr="00601AB4" w14:paraId="6780018D" w14:textId="77777777" w:rsidTr="0048337D">
        <w:trPr>
          <w:trHeight w:val="13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A1BCA7C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4. Prodotto/i da realizzare / processo/i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FE81DDF" w14:textId="77777777" w:rsidR="009B00C8" w:rsidRDefault="009B00C8" w:rsidP="009B00C8">
            <w:pPr>
              <w:spacing w:after="60"/>
              <w:ind w:right="85"/>
              <w:rPr>
                <w:rFonts w:asciiTheme="minorHAnsi" w:hAnsiTheme="minorHAnsi" w:cstheme="minorHAnsi"/>
                <w:color w:val="211D1E"/>
                <w:kern w:val="24"/>
              </w:rPr>
            </w:pPr>
            <w:r w:rsidRPr="009B00C8">
              <w:rPr>
                <w:rFonts w:asciiTheme="minorHAnsi" w:hAnsiTheme="minorHAnsi" w:cstheme="minorHAnsi"/>
                <w:color w:val="211D1E"/>
                <w:kern w:val="24"/>
              </w:rPr>
              <w:t>Grafico delle curve caratteristiche rilevate sperimentalmente sulle due pompe centrifughe, presenti in laboratorio, poste sia in serie che in parallelo.</w:t>
            </w:r>
          </w:p>
          <w:p w14:paraId="0733C101" w14:textId="56CE9BF3" w:rsidR="009B00C8" w:rsidRPr="009B00C8" w:rsidRDefault="009B00C8" w:rsidP="009B00C8">
            <w:pPr>
              <w:spacing w:after="60"/>
              <w:ind w:right="85"/>
              <w:rPr>
                <w:rFonts w:asciiTheme="minorHAnsi" w:hAnsiTheme="minorHAnsi" w:cstheme="minorHAnsi"/>
                <w:color w:val="211D1E"/>
                <w:kern w:val="24"/>
              </w:rPr>
            </w:pPr>
            <w:r>
              <w:t>Sarà redatto dalla classe un diario di bordo per avere traccia di ciò che si è fatto, delle difficoltà incontrate e di ciò che avrebbe potuto migliorare l’esperienza</w:t>
            </w:r>
          </w:p>
        </w:tc>
      </w:tr>
      <w:tr w:rsidR="009B00C8" w:rsidRPr="00601AB4" w14:paraId="59695DED" w14:textId="77777777" w:rsidTr="0048337D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4C87549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5. Competenze oggetto di apprendimento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9483D0D" w14:textId="0F8ADD1E" w:rsidR="009B00C8" w:rsidRPr="00601AB4" w:rsidRDefault="009B00C8" w:rsidP="009B687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generale:</w:t>
            </w:r>
          </w:p>
          <w:p w14:paraId="3E55A2FE" w14:textId="033BA214" w:rsidR="009B00C8" w:rsidRPr="009B0399" w:rsidRDefault="009B0399" w:rsidP="009B0399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21C57F1C" w14:textId="3460A2CB" w:rsidR="009B0399" w:rsidRPr="00601AB4" w:rsidRDefault="009B0399" w:rsidP="009B0399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 linguaggi settoriali delle lingue straniere previste dai percorsi di studio per interagire in diversi ambiti e contesti di studio e di lavoro</w:t>
            </w:r>
          </w:p>
          <w:p w14:paraId="765ABDAA" w14:textId="77777777" w:rsidR="009B00C8" w:rsidRPr="00601AB4" w:rsidRDefault="009B00C8" w:rsidP="009B00C8">
            <w:pPr>
              <w:pStyle w:val="Default"/>
              <w:spacing w:before="120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22B2955" w14:textId="77777777" w:rsidR="009B00C8" w:rsidRPr="00601AB4" w:rsidRDefault="009B00C8" w:rsidP="009B00C8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 xml:space="preserve">Area tecnico-professionale: </w:t>
            </w:r>
          </w:p>
          <w:p w14:paraId="7B21D78E" w14:textId="77777777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Ricavare le informazioni relative agli interventi di manutenzione dalla documentazione a corredo della macchina/impianto</w:t>
            </w:r>
          </w:p>
          <w:p w14:paraId="5C576FAD" w14:textId="77777777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Utilizzare, nei contesti operativi, metodi e strumenti di misura e controllo tipici delle attività di manutenzione dei sistemi o impianti di interesse</w:t>
            </w:r>
          </w:p>
          <w:p w14:paraId="21641AE3" w14:textId="77777777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Controllare e ripristinare, durante il ciclo di vita di semplici apparati e degli impianti, la conformità del loro funzionamento alle specifiche tecniche</w:t>
            </w:r>
          </w:p>
          <w:p w14:paraId="1868448B" w14:textId="77777777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 xml:space="preserve">Identificare le parti di un semplice apparato o impianto che necessitano di manutenzione </w:t>
            </w:r>
          </w:p>
          <w:p w14:paraId="52083F48" w14:textId="7408D615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Rilevare i livelli di consumo e il fabbisogno delle parti di ricambio</w:t>
            </w:r>
          </w:p>
          <w:p w14:paraId="1D8AD5C1" w14:textId="77777777" w:rsidR="009B687E" w:rsidRPr="009B00C8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 w:rsidRPr="009B00C8">
              <w:rPr>
                <w:b/>
                <w:bCs/>
              </w:rPr>
              <w:t>Abilità</w:t>
            </w:r>
          </w:p>
          <w:p w14:paraId="72370468" w14:textId="77777777" w:rsidR="009B687E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>
              <w:t xml:space="preserve">Riconoscere le condizioni di esercizio degli impianti </w:t>
            </w:r>
          </w:p>
          <w:p w14:paraId="43B10BEF" w14:textId="77777777" w:rsidR="009B687E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Consultare i manuali tecnici di riferimento</w:t>
            </w:r>
          </w:p>
          <w:p w14:paraId="7A2396EE" w14:textId="77777777" w:rsidR="009B687E" w:rsidRDefault="009B687E" w:rsidP="009B687E">
            <w:pPr>
              <w:pBdr>
                <w:top w:val="nil"/>
                <w:left w:val="nil"/>
                <w:bottom w:val="nil"/>
                <w:right w:val="nil"/>
                <w:bar w:val="nil"/>
              </w:pBdr>
            </w:pPr>
            <w:r>
              <w:t>Scegliere materiali, attrezzi e strumenti di lavoro necessari alle diverse fasi di attività</w:t>
            </w:r>
          </w:p>
          <w:p w14:paraId="426210C3" w14:textId="77777777" w:rsidR="009B687E" w:rsidRDefault="009B687E" w:rsidP="009B68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Ricavare le informazioni relative agli interventi di manutenzione dalla documentazione a corredo della macchina/ impianto.</w:t>
            </w:r>
          </w:p>
          <w:p w14:paraId="4729DCAF" w14:textId="77777777" w:rsidR="009B687E" w:rsidRDefault="009B687E" w:rsidP="009B68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</w:rPr>
            </w:pPr>
            <w:r>
              <w:t xml:space="preserve">Utilizzare, nei contesti operativi, metodi e strumenti di misura e controllo e diagnosi (anche digitali) propri dell’attività di manutenzione considerata </w:t>
            </w:r>
          </w:p>
          <w:p w14:paraId="2C04093B" w14:textId="77777777" w:rsidR="009B687E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85"/>
              <w:jc w:val="both"/>
            </w:pPr>
            <w:r>
              <w:t xml:space="preserve">Compilare registri di manutenzione e degli interventi effettuati e la documentazione </w:t>
            </w:r>
            <w:r>
              <w:lastRenderedPageBreak/>
              <w:t>tecnica</w:t>
            </w:r>
          </w:p>
          <w:p w14:paraId="31E2E63D" w14:textId="77777777" w:rsidR="009B687E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85"/>
              <w:jc w:val="both"/>
              <w:rPr>
                <w:b/>
              </w:rPr>
            </w:pPr>
            <w:r>
              <w:t>Collaborare alle attività di verifica, regolazione e collaudo, secondo la normativa vigente</w:t>
            </w:r>
          </w:p>
          <w:p w14:paraId="68A788C6" w14:textId="77777777" w:rsidR="009B687E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Smontare, sostituire e rimontare componenti e semplici apparecchiature, applicando le procedure di Sicurezza </w:t>
            </w:r>
          </w:p>
          <w:p w14:paraId="556DBBA4" w14:textId="42BBBCEE" w:rsidR="009B00C8" w:rsidRPr="009B687E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</w:rPr>
            </w:pPr>
            <w:r>
              <w:t>Eseguire la messa in sicurezza delle macchine secondo le procedure</w:t>
            </w:r>
          </w:p>
          <w:p w14:paraId="6DC455F9" w14:textId="77777777" w:rsidR="009B00C8" w:rsidRPr="009B687E" w:rsidRDefault="009B00C8" w:rsidP="009B00C8">
            <w:pPr>
              <w:pStyle w:val="Default"/>
              <w:spacing w:before="120"/>
              <w:ind w:left="82"/>
              <w:jc w:val="both"/>
              <w:rPr>
                <w:rFonts w:asciiTheme="minorHAnsi" w:hAnsiTheme="minorHAnsi" w:cstheme="minorHAnsi"/>
                <w:b/>
                <w:bCs/>
                <w:iCs/>
                <w:color w:val="211D1E"/>
              </w:rPr>
            </w:pPr>
            <w:r w:rsidRPr="009B687E">
              <w:rPr>
                <w:rFonts w:asciiTheme="minorHAnsi" w:hAnsiTheme="minorHAnsi" w:cstheme="minorHAnsi"/>
                <w:b/>
                <w:bCs/>
                <w:iCs/>
                <w:color w:val="211D1E"/>
              </w:rPr>
              <w:t>Area trasversale:</w:t>
            </w:r>
          </w:p>
          <w:p w14:paraId="202311AB" w14:textId="2EB67D40" w:rsidR="009B00C8" w:rsidRPr="009B687E" w:rsidRDefault="009B687E" w:rsidP="009B00C8">
            <w:pPr>
              <w:pStyle w:val="Default"/>
              <w:numPr>
                <w:ilvl w:val="0"/>
                <w:numId w:val="1"/>
              </w:numPr>
              <w:spacing w:before="120"/>
              <w:jc w:val="both"/>
              <w:rPr>
                <w:rFonts w:asciiTheme="minorHAnsi" w:hAnsiTheme="minorHAnsi" w:cstheme="minorHAnsi"/>
                <w:iCs/>
                <w:color w:val="211D1E"/>
              </w:rPr>
            </w:pPr>
            <w:r w:rsidRPr="009B687E">
              <w:rPr>
                <w:rFonts w:asciiTheme="minorHAnsi" w:hAnsiTheme="minorHAnsi" w:cstheme="minorHAnsi"/>
                <w:iCs/>
                <w:color w:val="211D1E"/>
              </w:rPr>
              <w:t>Competenze di cittadinanza</w:t>
            </w:r>
          </w:p>
          <w:p w14:paraId="7C698949" w14:textId="2D9AC2F4" w:rsidR="009B00C8" w:rsidRPr="009B687E" w:rsidRDefault="009B687E" w:rsidP="009B00C8">
            <w:pPr>
              <w:pStyle w:val="Default"/>
              <w:numPr>
                <w:ilvl w:val="0"/>
                <w:numId w:val="1"/>
              </w:numPr>
              <w:spacing w:before="120"/>
              <w:jc w:val="both"/>
              <w:rPr>
                <w:rFonts w:asciiTheme="minorHAnsi" w:hAnsiTheme="minorHAnsi" w:cstheme="minorHAnsi"/>
                <w:iCs/>
                <w:color w:val="211D1E"/>
              </w:rPr>
            </w:pPr>
            <w:r w:rsidRPr="009B687E">
              <w:rPr>
                <w:rFonts w:asciiTheme="minorHAnsi" w:hAnsiTheme="minorHAnsi" w:cstheme="minorHAnsi"/>
                <w:iCs/>
                <w:color w:val="211D1E"/>
              </w:rPr>
              <w:t>Competenze digitali</w:t>
            </w:r>
          </w:p>
          <w:p w14:paraId="77C4B040" w14:textId="77777777" w:rsidR="009B00C8" w:rsidRPr="00601AB4" w:rsidRDefault="009B00C8" w:rsidP="009B00C8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4FAA7578" w14:textId="77777777" w:rsidR="009B00C8" w:rsidRPr="00601AB4" w:rsidRDefault="009B00C8" w:rsidP="009B00C8">
            <w:pPr>
              <w:pStyle w:val="TableParagraph"/>
              <w:spacing w:before="120"/>
              <w:ind w:left="82"/>
            </w:pPr>
          </w:p>
        </w:tc>
      </w:tr>
      <w:tr w:rsidR="009B00C8" w:rsidRPr="00601AB4" w14:paraId="1C0EF80C" w14:textId="77777777" w:rsidTr="009B0399">
        <w:trPr>
          <w:trHeight w:val="75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A452510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6.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3C98EA0" w14:textId="1E12578D" w:rsidR="009B00C8" w:rsidRDefault="00114818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Laboratori tecnologici</w:t>
            </w:r>
          </w:p>
          <w:p w14:paraId="40B58A99" w14:textId="13956B34" w:rsidR="00114818" w:rsidRDefault="00114818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 w:rsidRPr="00114818">
              <w:t xml:space="preserve">Manutenzione e </w:t>
            </w:r>
            <w:r>
              <w:t>attrezzaggio del pannello pompe</w:t>
            </w:r>
          </w:p>
          <w:p w14:paraId="785E5DE2" w14:textId="6B1BE18A" w:rsidR="00114818" w:rsidRPr="00114818" w:rsidRDefault="00114818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Campagna di misurazione delle pompe in serie e parallelo</w:t>
            </w:r>
          </w:p>
          <w:p w14:paraId="732DD162" w14:textId="6F5E2328" w:rsidR="0079711A" w:rsidRPr="009B687E" w:rsidRDefault="009B687E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TTMD</w:t>
            </w:r>
          </w:p>
          <w:p w14:paraId="33970CF8" w14:textId="62CC4705" w:rsidR="009B00C8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687E">
              <w:rPr>
                <w:rFonts w:asciiTheme="minorHAnsi" w:hAnsiTheme="minorHAnsi" w:cstheme="minorHAnsi"/>
              </w:rPr>
              <w:t>Pressione e portata dei fluidi</w:t>
            </w:r>
          </w:p>
          <w:p w14:paraId="51CD8373" w14:textId="4CB4F53A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Perdite di carico continue e concentrate</w:t>
            </w:r>
          </w:p>
          <w:p w14:paraId="55309FFD" w14:textId="2B1C409A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Teorema di Bernoulli</w:t>
            </w:r>
          </w:p>
          <w:p w14:paraId="75E70F5C" w14:textId="2AAC3F63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Principio di continuità</w:t>
            </w:r>
          </w:p>
          <w:p w14:paraId="2D088B76" w14:textId="28513A44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Principi di misura della portata</w:t>
            </w:r>
          </w:p>
          <w:p w14:paraId="4F35023E" w14:textId="3940C5F2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Calcolo della potenza meccanica ceduta al fluido dalla pompa</w:t>
            </w:r>
          </w:p>
          <w:p w14:paraId="04F694FB" w14:textId="20480A2A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TEEA</w:t>
            </w:r>
          </w:p>
          <w:p w14:paraId="06BAB066" w14:textId="6504F832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687E">
              <w:rPr>
                <w:rFonts w:asciiTheme="minorHAnsi" w:hAnsiTheme="minorHAnsi" w:cstheme="minorHAnsi"/>
              </w:rPr>
              <w:t xml:space="preserve">Potenza elettrica </w:t>
            </w:r>
          </w:p>
          <w:p w14:paraId="0AB27627" w14:textId="11E53867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Misura della potenza assorbita da un motore AC tramite Wattmetro (parte teorica)</w:t>
            </w:r>
          </w:p>
          <w:p w14:paraId="21B18E27" w14:textId="2DEF7CDC" w:rsidR="009B687E" w:rsidRP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Rendimento di un sistema </w:t>
            </w:r>
          </w:p>
          <w:p w14:paraId="06C7FFA3" w14:textId="21FD5646" w:rsidR="009B687E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TMA</w:t>
            </w:r>
          </w:p>
          <w:p w14:paraId="0EE37DD2" w14:textId="288B4430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0399">
              <w:rPr>
                <w:rFonts w:asciiTheme="minorHAnsi" w:hAnsiTheme="minorHAnsi" w:cstheme="minorHAnsi"/>
              </w:rPr>
              <w:t>Principio di funzionamento di una pompa centrifuga</w:t>
            </w:r>
          </w:p>
          <w:p w14:paraId="01C3A9A0" w14:textId="4C135974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Prevalenza, potenza assorbita, curve caratteristiche</w:t>
            </w:r>
          </w:p>
          <w:p w14:paraId="09A0B982" w14:textId="1D5B8D50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NPSH</w:t>
            </w:r>
          </w:p>
          <w:p w14:paraId="5C48E531" w14:textId="1B850538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99">
              <w:rPr>
                <w:rFonts w:asciiTheme="minorHAnsi" w:hAnsiTheme="minorHAnsi" w:cstheme="minorHAnsi"/>
                <w:b/>
                <w:bCs/>
              </w:rPr>
              <w:t>INGLESE</w:t>
            </w:r>
          </w:p>
          <w:p w14:paraId="5926006C" w14:textId="4CEFF503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0399">
              <w:rPr>
                <w:rFonts w:asciiTheme="minorHAnsi" w:hAnsiTheme="minorHAnsi" w:cstheme="minorHAnsi"/>
              </w:rPr>
              <w:t>Focus</w:t>
            </w:r>
            <w:r>
              <w:rPr>
                <w:rFonts w:asciiTheme="minorHAnsi" w:hAnsiTheme="minorHAnsi" w:cstheme="minorHAnsi"/>
              </w:rPr>
              <w:t xml:space="preserve"> on theory:</w:t>
            </w:r>
          </w:p>
          <w:p w14:paraId="2C975499" w14:textId="20CABE29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heating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system,</w:t>
            </w:r>
          </w:p>
          <w:p w14:paraId="1CEDF5AD" w14:textId="070046B5" w:rsidR="009B0399" w:rsidRP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refrigeration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system</w:t>
            </w:r>
          </w:p>
          <w:p w14:paraId="54D6EB65" w14:textId="3A2359EE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ITALIANO</w:t>
            </w:r>
          </w:p>
          <w:p w14:paraId="6C560B4C" w14:textId="3B12AE3D" w:rsidR="009B687E" w:rsidRPr="009B687E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0399">
              <w:rPr>
                <w:rFonts w:asciiTheme="minorHAnsi" w:hAnsiTheme="minorHAnsi" w:cstheme="minorHAnsi"/>
              </w:rPr>
              <w:t>Testo argomentativo sull’esperienza dell’UDA</w:t>
            </w:r>
          </w:p>
          <w:p w14:paraId="09ABBA19" w14:textId="77777777" w:rsidR="009B00C8" w:rsidRPr="00601AB4" w:rsidRDefault="009B00C8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222222"/>
                <w:sz w:val="22"/>
                <w:szCs w:val="22"/>
              </w:rPr>
            </w:pPr>
          </w:p>
        </w:tc>
      </w:tr>
      <w:tr w:rsidR="009B00C8" w:rsidRPr="00601AB4" w14:paraId="6D1CB887" w14:textId="77777777" w:rsidTr="0048337D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54EA939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7.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5BEA069" w14:textId="7C80B035" w:rsidR="009B00C8" w:rsidRPr="00601AB4" w:rsidRDefault="009B00C8" w:rsidP="009B00C8">
            <w:pPr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9B00C8" w:rsidRPr="00601AB4" w14:paraId="0CD39E4B" w14:textId="77777777" w:rsidTr="0048337D">
        <w:trPr>
          <w:trHeight w:val="1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E011D3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8. Attività degli studenti</w:t>
            </w:r>
          </w:p>
          <w:p w14:paraId="0C188C05" w14:textId="77777777" w:rsidR="009B00C8" w:rsidRPr="00601AB4" w:rsidRDefault="009B00C8" w:rsidP="009B00C8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4C0506C" w14:textId="350E4D5D" w:rsidR="009B00C8" w:rsidRDefault="009B00C8" w:rsidP="009B00C8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Fasi</w:t>
            </w:r>
          </w:p>
          <w:p w14:paraId="18A0DC1A" w14:textId="31CB330F" w:rsidR="0079711A" w:rsidRDefault="0079711A" w:rsidP="0079711A">
            <w:r>
              <w:t>Fase 1: Presentazione del progetto e apertura del diario di bordo</w:t>
            </w:r>
            <w:r>
              <w:br/>
              <w:t>Fase 2: Attività laboratoriale e raccolta dati</w:t>
            </w:r>
          </w:p>
          <w:p w14:paraId="175363C2" w14:textId="77777777" w:rsidR="0079711A" w:rsidRDefault="0079711A" w:rsidP="0079711A">
            <w:r>
              <w:t>Fase 3: Ricostruzione dei concetti teorici a partire dalle attività laboratoriali</w:t>
            </w:r>
            <w:r>
              <w:br/>
              <w:t>Fase 4: Studio dei componenti in lingua inglese</w:t>
            </w:r>
            <w:r>
              <w:br/>
              <w:t>Fase 5: Produzione dell’elaborato tecnico</w:t>
            </w:r>
          </w:p>
          <w:p w14:paraId="00BAC83F" w14:textId="56C9D092" w:rsidR="0079711A" w:rsidRPr="0079711A" w:rsidRDefault="0079711A" w:rsidP="0079711A">
            <w:r>
              <w:t>Fase 6: Chiusura del diario di bordo redatto durante le fasi precedenti</w:t>
            </w:r>
          </w:p>
          <w:p w14:paraId="00D9F6FA" w14:textId="77777777" w:rsidR="009B00C8" w:rsidRPr="00601AB4" w:rsidRDefault="009B00C8" w:rsidP="009B00C8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Modalità</w:t>
            </w:r>
            <w:r w:rsidRPr="00601AB4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</w:t>
            </w:r>
          </w:p>
          <w:p w14:paraId="5206347A" w14:textId="77777777" w:rsidR="0079711A" w:rsidRPr="00484190" w:rsidRDefault="0079711A" w:rsidP="0011309B">
            <w:pPr>
              <w:pStyle w:val="Default"/>
              <w:numPr>
                <w:ilvl w:val="0"/>
                <w:numId w:val="9"/>
              </w:numPr>
              <w:spacing w:before="120"/>
              <w:ind w:left="365"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Brainstorming per raccogliere e valutare le idee degli alunni</w:t>
            </w:r>
          </w:p>
          <w:p w14:paraId="53180C01" w14:textId="77777777" w:rsidR="0079711A" w:rsidRPr="00484190" w:rsidRDefault="0079711A" w:rsidP="0079711A">
            <w:pPr>
              <w:pStyle w:val="Default"/>
              <w:spacing w:before="120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Approfondimento degli argomenti nelle discipline coinvolte</w:t>
            </w:r>
          </w:p>
          <w:p w14:paraId="5C915A7A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lastRenderedPageBreak/>
              <w:t>• Attività pratiche di laboratorio, in gruppo e personalizzate</w:t>
            </w:r>
          </w:p>
          <w:p w14:paraId="4F48EB89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Lezione frontale dialogata</w:t>
            </w:r>
          </w:p>
          <w:p w14:paraId="3B80D238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Lavori individuali domestici dove è possibile</w:t>
            </w:r>
          </w:p>
          <w:p w14:paraId="580D73F3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</w:p>
          <w:p w14:paraId="44E47E71" w14:textId="172627AB" w:rsidR="009B00C8" w:rsidRPr="00601AB4" w:rsidRDefault="0079711A" w:rsidP="0079711A">
            <w:pPr>
              <w:pStyle w:val="Default"/>
              <w:ind w:left="82" w:right="218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Le Modalità saranno di natura: collettive, di gruppo, individuali, personalizzate, in presenza, a distanza, peer to peer, cooperative learning, collaborative learning, peer tutoring.</w:t>
            </w:r>
          </w:p>
        </w:tc>
      </w:tr>
    </w:tbl>
    <w:p w14:paraId="2D6C536D" w14:textId="77777777" w:rsidR="009B00C8" w:rsidRPr="00601AB4" w:rsidRDefault="009B00C8" w:rsidP="009B00C8"/>
    <w:p w14:paraId="2FC94E92" w14:textId="77777777" w:rsidR="009B00C8" w:rsidRPr="00601AB4" w:rsidRDefault="009B00C8" w:rsidP="009B00C8"/>
    <w:p w14:paraId="58D805F0" w14:textId="77777777" w:rsidR="009B00C8" w:rsidRPr="00601AB4" w:rsidRDefault="009B00C8" w:rsidP="009B00C8">
      <w:pPr>
        <w:jc w:val="center"/>
      </w:pPr>
      <w:r w:rsidRPr="00601AB4">
        <w:rPr>
          <w:b/>
          <w:bCs/>
        </w:rPr>
        <w:t>LA GESTIONE DELLA INTERDISCIPLINARITÀ</w:t>
      </w:r>
    </w:p>
    <w:p w14:paraId="7268AC4A" w14:textId="77777777" w:rsidR="009B00C8" w:rsidRPr="00601AB4" w:rsidRDefault="009B00C8" w:rsidP="009B00C8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9B00C8" w:rsidRPr="00601AB4" w14:paraId="746CA962" w14:textId="77777777" w:rsidTr="0048337D">
        <w:trPr>
          <w:trHeight w:val="7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4A68680" w14:textId="77777777" w:rsidR="009B00C8" w:rsidRPr="00601AB4" w:rsidRDefault="009B00C8" w:rsidP="0048337D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9.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07C12BD" w14:textId="77777777" w:rsidR="00D56000" w:rsidRDefault="00D56000" w:rsidP="00D56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Laboratori tecnologici ed esercitazioni</w:t>
            </w:r>
            <w:r w:rsidR="0079711A" w:rsidRPr="00D5600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Arial" w:hAnsiTheme="minorHAnsi" w:cstheme="minorHAnsi"/>
                <w:highlight w:val="white"/>
              </w:rPr>
              <w:t xml:space="preserve">- </w:t>
            </w:r>
            <w:r w:rsidR="0079711A" w:rsidRPr="00D56000">
              <w:rPr>
                <w:rFonts w:asciiTheme="minorHAnsi" w:eastAsia="Arial" w:hAnsiTheme="minorHAnsi" w:cstheme="minorHAnsi"/>
                <w:highlight w:val="white"/>
              </w:rPr>
              <w:t>Tecnologie e tecniche di installazione manutenzione e diagnostica</w:t>
            </w:r>
            <w:r w:rsidR="0079711A" w:rsidRPr="00D56000">
              <w:rPr>
                <w:rFonts w:asciiTheme="minorHAnsi" w:eastAsia="Arial" w:hAnsiTheme="minorHAnsi" w:cstheme="minorHAnsi"/>
              </w:rPr>
              <w:t xml:space="preserve"> </w:t>
            </w:r>
            <w:r w:rsidR="0079711A" w:rsidRPr="00D5600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Tecnologie meccaniche ed applicazioni</w:t>
            </w:r>
          </w:p>
          <w:p w14:paraId="480C5D8E" w14:textId="7A95D590" w:rsidR="0079711A" w:rsidRPr="00D56000" w:rsidRDefault="00D56000" w:rsidP="00D56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 xml:space="preserve">Tecnologie elettrico-elettroniche e applicazioni </w:t>
            </w:r>
            <w:r w:rsidR="0079711A" w:rsidRPr="00D5600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Lingua e letteratura italiana</w:t>
            </w:r>
          </w:p>
          <w:p w14:paraId="73829A76" w14:textId="6367E549" w:rsidR="009B00C8" w:rsidRPr="00D56000" w:rsidRDefault="00D56000" w:rsidP="00D56000">
            <w:pPr>
              <w:ind w:right="2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Lingua Inglese</w:t>
            </w:r>
          </w:p>
        </w:tc>
      </w:tr>
      <w:tr w:rsidR="009B00C8" w:rsidRPr="00601AB4" w14:paraId="6D574C39" w14:textId="77777777" w:rsidTr="0048337D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7AB1302" w14:textId="77777777" w:rsidR="009B00C8" w:rsidRPr="00601AB4" w:rsidRDefault="009B00C8" w:rsidP="0048337D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10. Indicatori per l</w:t>
            </w:r>
            <w:r>
              <w:rPr>
                <w:b/>
                <w:bCs/>
                <w:color w:val="211D1E"/>
                <w:kern w:val="24"/>
              </w:rPr>
              <w:t>a valutazione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904F7B0" w14:textId="77777777" w:rsidR="009B00C8" w:rsidRPr="00601AB4" w:rsidRDefault="009B00C8" w:rsidP="0048337D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6"/>
                <w:szCs w:val="6"/>
              </w:rPr>
            </w:pPr>
          </w:p>
          <w:p w14:paraId="5E9EEB1C" w14:textId="77777777" w:rsidR="009B00C8" w:rsidRPr="00601AB4" w:rsidRDefault="009B00C8" w:rsidP="0048337D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1AE78A7" w14:textId="77777777" w:rsidR="009B00C8" w:rsidRPr="00601AB4" w:rsidRDefault="009B00C8" w:rsidP="0048337D">
            <w:pPr>
              <w:pStyle w:val="TableParagraph"/>
              <w:spacing w:before="120"/>
              <w:ind w:left="82"/>
            </w:pPr>
          </w:p>
        </w:tc>
      </w:tr>
      <w:tr w:rsidR="009B00C8" w:rsidRPr="009F0A6E" w14:paraId="1D03DE2D" w14:textId="77777777" w:rsidTr="0048337D">
        <w:trPr>
          <w:trHeight w:val="10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9141154" w14:textId="77777777" w:rsidR="009B00C8" w:rsidRPr="009F0A6E" w:rsidRDefault="009B00C8" w:rsidP="0048337D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11. Attività degli studenti</w:t>
            </w: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24C18D8" w14:textId="77777777" w:rsidR="009B00C8" w:rsidRDefault="00D56000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Manutenzione delle pompe per renderle perfettamente funzionanti</w:t>
            </w:r>
          </w:p>
          <w:p w14:paraId="096143F3" w14:textId="77777777" w:rsidR="00D56000" w:rsidRDefault="00D56000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Misurazioni relative alla portata, alla potenza e alla pressione in entrata e uscita</w:t>
            </w:r>
          </w:p>
          <w:p w14:paraId="70BFFEA7" w14:textId="77777777" w:rsidR="00D56000" w:rsidRDefault="00D56000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Realizzare i grafici relativi alle curve caratteristiche ricavate con i dati rilevati</w:t>
            </w:r>
          </w:p>
          <w:p w14:paraId="21E9AFA4" w14:textId="1E02598F" w:rsidR="00D56000" w:rsidRPr="009A497A" w:rsidRDefault="00D56000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Redigere il diario di bordo</w:t>
            </w:r>
          </w:p>
        </w:tc>
      </w:tr>
    </w:tbl>
    <w:p w14:paraId="386F35A5" w14:textId="77777777" w:rsidR="009B00C8" w:rsidRDefault="009B00C8" w:rsidP="009B00C8"/>
    <w:p w14:paraId="3CBCE019" w14:textId="77777777" w:rsidR="004076E2" w:rsidRDefault="004076E2"/>
    <w:sectPr w:rsidR="004076E2" w:rsidSect="00295B0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6776" w14:textId="77777777" w:rsidR="00806773" w:rsidRDefault="00806773" w:rsidP="009B00C8">
      <w:r>
        <w:separator/>
      </w:r>
    </w:p>
  </w:endnote>
  <w:endnote w:type="continuationSeparator" w:id="0">
    <w:p w14:paraId="3919ADC5" w14:textId="77777777" w:rsidR="00806773" w:rsidRDefault="00806773" w:rsidP="009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D737" w14:textId="77777777" w:rsidR="00806773" w:rsidRDefault="00806773" w:rsidP="009B00C8">
      <w:r>
        <w:separator/>
      </w:r>
    </w:p>
  </w:footnote>
  <w:footnote w:type="continuationSeparator" w:id="0">
    <w:p w14:paraId="4C5E275D" w14:textId="77777777" w:rsidR="00806773" w:rsidRDefault="00806773" w:rsidP="009B00C8">
      <w:r>
        <w:continuationSeparator/>
      </w:r>
    </w:p>
  </w:footnote>
  <w:footnote w:id="1">
    <w:p w14:paraId="2021321F" w14:textId="77777777" w:rsidR="009B00C8" w:rsidRDefault="009B00C8" w:rsidP="009B00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Le Uda dovrebbero essere basate su un compito complesso, con attività </w:t>
      </w:r>
      <w:proofErr w:type="spellStart"/>
      <w:r>
        <w:rPr>
          <w:sz w:val="20"/>
          <w:szCs w:val="20"/>
        </w:rPr>
        <w:t>pluri</w:t>
      </w:r>
      <w:proofErr w:type="spellEnd"/>
      <w:r>
        <w:rPr>
          <w:sz w:val="20"/>
          <w:szCs w:val="20"/>
        </w:rPr>
        <w:t xml:space="preserve">, inter o meglio </w:t>
      </w:r>
    </w:p>
    <w:p w14:paraId="348C7FAB" w14:textId="77777777" w:rsidR="009B00C8" w:rsidRDefault="009B00C8" w:rsidP="009B00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transdisciplinari. (vedi slide prof. Guasti)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13D"/>
    <w:multiLevelType w:val="hybridMultilevel"/>
    <w:tmpl w:val="EBAE0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747"/>
    <w:multiLevelType w:val="hybridMultilevel"/>
    <w:tmpl w:val="92C8707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8E603A"/>
    <w:multiLevelType w:val="hybridMultilevel"/>
    <w:tmpl w:val="C0E6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E400D"/>
    <w:multiLevelType w:val="hybridMultilevel"/>
    <w:tmpl w:val="CCBCE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B94"/>
    <w:multiLevelType w:val="hybridMultilevel"/>
    <w:tmpl w:val="C9509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302B"/>
    <w:multiLevelType w:val="hybridMultilevel"/>
    <w:tmpl w:val="1C4E668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60A1614"/>
    <w:multiLevelType w:val="hybridMultilevel"/>
    <w:tmpl w:val="6002B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E1EEC"/>
    <w:multiLevelType w:val="hybridMultilevel"/>
    <w:tmpl w:val="FDD0C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931D8"/>
    <w:multiLevelType w:val="multilevel"/>
    <w:tmpl w:val="C07615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</w:rPr>
    </w:lvl>
  </w:abstractNum>
  <w:num w:numId="1" w16cid:durableId="493420682">
    <w:abstractNumId w:val="4"/>
  </w:num>
  <w:num w:numId="2" w16cid:durableId="1156918530">
    <w:abstractNumId w:val="8"/>
  </w:num>
  <w:num w:numId="3" w16cid:durableId="2073305551">
    <w:abstractNumId w:val="3"/>
  </w:num>
  <w:num w:numId="4" w16cid:durableId="959264305">
    <w:abstractNumId w:val="2"/>
  </w:num>
  <w:num w:numId="5" w16cid:durableId="676231487">
    <w:abstractNumId w:val="1"/>
  </w:num>
  <w:num w:numId="6" w16cid:durableId="927032658">
    <w:abstractNumId w:val="6"/>
  </w:num>
  <w:num w:numId="7" w16cid:durableId="2015106650">
    <w:abstractNumId w:val="0"/>
  </w:num>
  <w:num w:numId="8" w16cid:durableId="1619408281">
    <w:abstractNumId w:val="7"/>
  </w:num>
  <w:num w:numId="9" w16cid:durableId="204366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C8"/>
    <w:rsid w:val="0011309B"/>
    <w:rsid w:val="00114818"/>
    <w:rsid w:val="004076E2"/>
    <w:rsid w:val="004854D9"/>
    <w:rsid w:val="0079711A"/>
    <w:rsid w:val="00806773"/>
    <w:rsid w:val="009B00C8"/>
    <w:rsid w:val="009B0399"/>
    <w:rsid w:val="009B687E"/>
    <w:rsid w:val="00D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AF9"/>
  <w15:chartTrackingRefBased/>
  <w15:docId w15:val="{FF0A7F57-DE55-4182-AE71-E534F4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0C8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qFormat/>
    <w:rsid w:val="009B00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rsid w:val="0079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9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2</cp:revision>
  <dcterms:created xsi:type="dcterms:W3CDTF">2024-01-14T18:50:00Z</dcterms:created>
  <dcterms:modified xsi:type="dcterms:W3CDTF">2024-01-14T18:50:00Z</dcterms:modified>
</cp:coreProperties>
</file>